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2796"/>
        <w:gridCol w:w="3392"/>
      </w:tblGrid>
      <w:tr w:rsidR="00A63C9D" w:rsidRPr="001F35FF" w:rsidTr="00B32172">
        <w:tc>
          <w:tcPr>
            <w:tcW w:w="3794" w:type="dxa"/>
            <w:shd w:val="clear" w:color="auto" w:fill="auto"/>
          </w:tcPr>
          <w:p w:rsidR="00A63C9D" w:rsidRPr="001F35FF" w:rsidRDefault="00A63C9D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        СОГЛАСОВАНО</w:t>
            </w:r>
          </w:p>
          <w:p w:rsidR="00A63C9D" w:rsidRPr="001F35FF" w:rsidRDefault="00A63C9D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Председатель ПК</w:t>
            </w:r>
          </w:p>
          <w:p w:rsidR="00A63C9D" w:rsidRPr="001F35FF" w:rsidRDefault="00A63C9D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 </w:t>
            </w:r>
            <w:r>
              <w:rPr>
                <w:rFonts w:ascii="PT Astra Serif" w:hAnsi="PT Astra Serif"/>
              </w:rPr>
              <w:t>И.Ю. Пономарева</w:t>
            </w:r>
          </w:p>
          <w:p w:rsidR="00A63C9D" w:rsidRPr="001F35FF" w:rsidRDefault="00A63C9D" w:rsidP="00B32172">
            <w:pPr>
              <w:rPr>
                <w:rFonts w:ascii="PT Astra Serif" w:hAnsi="PT Astra Serif"/>
              </w:rPr>
            </w:pPr>
          </w:p>
          <w:p w:rsidR="00A63C9D" w:rsidRPr="001F35FF" w:rsidRDefault="00A63C9D" w:rsidP="00B3217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протокол №___ от __.08.2022</w:t>
            </w:r>
            <w:r w:rsidRPr="001F35FF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3302" w:type="dxa"/>
            <w:shd w:val="clear" w:color="auto" w:fill="auto"/>
          </w:tcPr>
          <w:p w:rsidR="00A63C9D" w:rsidRPr="001F35FF" w:rsidRDefault="00A63C9D" w:rsidP="00B32172">
            <w:pPr>
              <w:rPr>
                <w:rFonts w:ascii="PT Astra Serif" w:hAnsi="PT Astra Serif"/>
              </w:rPr>
            </w:pPr>
          </w:p>
        </w:tc>
        <w:tc>
          <w:tcPr>
            <w:tcW w:w="3711" w:type="dxa"/>
            <w:shd w:val="clear" w:color="auto" w:fill="auto"/>
          </w:tcPr>
          <w:p w:rsidR="00A63C9D" w:rsidRPr="001F35FF" w:rsidRDefault="00A63C9D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          УТВЕРЖДАЮ</w:t>
            </w:r>
          </w:p>
          <w:p w:rsidR="00A63C9D" w:rsidRPr="001F35FF" w:rsidRDefault="00A63C9D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Директор МОУ </w:t>
            </w:r>
            <w:r>
              <w:rPr>
                <w:rFonts w:ascii="PT Astra Serif" w:hAnsi="PT Astra Serif"/>
              </w:rPr>
              <w:t>гимназия № 1</w:t>
            </w:r>
            <w:r w:rsidRPr="001F35FF">
              <w:rPr>
                <w:rFonts w:ascii="PT Astra Serif" w:hAnsi="PT Astra Serif"/>
              </w:rPr>
              <w:t xml:space="preserve"> </w:t>
            </w:r>
          </w:p>
          <w:p w:rsidR="00A63C9D" w:rsidRPr="001F35FF" w:rsidRDefault="00A63C9D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_________ </w:t>
            </w:r>
            <w:r>
              <w:rPr>
                <w:rFonts w:ascii="PT Astra Serif" w:hAnsi="PT Astra Serif"/>
              </w:rPr>
              <w:t xml:space="preserve">О.В. </w:t>
            </w:r>
            <w:proofErr w:type="spellStart"/>
            <w:r>
              <w:rPr>
                <w:rFonts w:ascii="PT Astra Serif" w:hAnsi="PT Astra Serif"/>
              </w:rPr>
              <w:t>Синицина</w:t>
            </w:r>
            <w:proofErr w:type="spellEnd"/>
          </w:p>
          <w:p w:rsidR="00A63C9D" w:rsidRPr="001F35FF" w:rsidRDefault="00A63C9D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приказ №____</w:t>
            </w:r>
          </w:p>
          <w:p w:rsidR="00A63C9D" w:rsidRPr="001F35FF" w:rsidRDefault="00A63C9D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«___» __________ 20</w:t>
            </w:r>
            <w:r>
              <w:rPr>
                <w:rFonts w:ascii="PT Astra Serif" w:hAnsi="PT Astra Serif"/>
              </w:rPr>
              <w:t>22</w:t>
            </w:r>
            <w:r w:rsidRPr="001F35FF">
              <w:rPr>
                <w:rFonts w:ascii="PT Astra Serif" w:hAnsi="PT Astra Serif"/>
              </w:rPr>
              <w:t>___ г.</w:t>
            </w:r>
          </w:p>
          <w:p w:rsidR="00A63C9D" w:rsidRPr="001F35FF" w:rsidRDefault="00A63C9D" w:rsidP="00B32172">
            <w:pPr>
              <w:rPr>
                <w:rFonts w:ascii="PT Astra Serif" w:hAnsi="PT Astra Serif"/>
              </w:rPr>
            </w:pPr>
          </w:p>
        </w:tc>
      </w:tr>
    </w:tbl>
    <w:p w:rsidR="00A63C9D" w:rsidRDefault="00A63C9D" w:rsidP="00A63C9D">
      <w:pPr>
        <w:jc w:val="both"/>
      </w:pPr>
    </w:p>
    <w:p w:rsidR="00A63C9D" w:rsidRDefault="00A63C9D" w:rsidP="00A63C9D">
      <w:pPr>
        <w:jc w:val="both"/>
      </w:pPr>
    </w:p>
    <w:p w:rsidR="00A63C9D" w:rsidRPr="00CB125E" w:rsidRDefault="00A63C9D" w:rsidP="00A63C9D">
      <w:pPr>
        <w:widowControl w:val="0"/>
        <w:spacing w:line="270" w:lineRule="exact"/>
        <w:jc w:val="center"/>
        <w:rPr>
          <w:b/>
          <w:bCs/>
          <w:color w:val="000000"/>
          <w:lang w:bidi="ru-RU"/>
        </w:rPr>
      </w:pPr>
      <w:r w:rsidRPr="00CB125E">
        <w:rPr>
          <w:b/>
          <w:bCs/>
          <w:color w:val="000000"/>
          <w:lang w:bidi="ru-RU"/>
        </w:rPr>
        <w:t>ДОЛЖНОСТНАЯ ИНСТРУКЦИЯ</w:t>
      </w:r>
    </w:p>
    <w:p w:rsidR="00A63C9D" w:rsidRPr="0094374F" w:rsidRDefault="00A63C9D" w:rsidP="00A63C9D">
      <w:pPr>
        <w:widowControl w:val="0"/>
        <w:spacing w:line="270" w:lineRule="exact"/>
        <w:jc w:val="center"/>
      </w:pPr>
      <w:r>
        <w:rPr>
          <w:b/>
          <w:bCs/>
          <w:color w:val="000000"/>
          <w:lang w:bidi="ru-RU"/>
        </w:rPr>
        <w:t>педагога-</w:t>
      </w:r>
      <w:r w:rsidRPr="00CB125E">
        <w:rPr>
          <w:b/>
          <w:bCs/>
          <w:color w:val="000000"/>
          <w:lang w:bidi="ru-RU"/>
        </w:rPr>
        <w:t>организатора   центра образования естественно-научной и технологической</w:t>
      </w:r>
      <w:r>
        <w:rPr>
          <w:b/>
          <w:bCs/>
          <w:color w:val="000000"/>
          <w:lang w:bidi="ru-RU"/>
        </w:rPr>
        <w:t xml:space="preserve"> </w:t>
      </w:r>
      <w:r w:rsidRPr="00CB125E">
        <w:rPr>
          <w:b/>
          <w:bCs/>
          <w:color w:val="000000"/>
          <w:lang w:bidi="ru-RU"/>
        </w:rPr>
        <w:t>направленности «Точка роста» муниципального обще</w:t>
      </w:r>
      <w:r>
        <w:rPr>
          <w:b/>
          <w:bCs/>
          <w:color w:val="000000"/>
          <w:lang w:bidi="ru-RU"/>
        </w:rPr>
        <w:t xml:space="preserve">образовательного учреждения </w:t>
      </w:r>
      <w:r w:rsidRPr="00026CB2">
        <w:rPr>
          <w:b/>
          <w:bCs/>
          <w:color w:val="000000"/>
          <w:lang w:bidi="ru-RU"/>
        </w:rPr>
        <w:t>«</w:t>
      </w:r>
      <w:r>
        <w:rPr>
          <w:b/>
          <w:bCs/>
          <w:color w:val="000000"/>
          <w:lang w:bidi="ru-RU"/>
        </w:rPr>
        <w:t>Гимназия № 1</w:t>
      </w:r>
      <w:r w:rsidRPr="00026CB2">
        <w:rPr>
          <w:b/>
          <w:bCs/>
          <w:color w:val="000000"/>
          <w:lang w:bidi="ru-RU"/>
        </w:rPr>
        <w:t xml:space="preserve">» </w:t>
      </w:r>
      <w:r>
        <w:rPr>
          <w:b/>
          <w:bCs/>
          <w:color w:val="000000"/>
          <w:lang w:bidi="ru-RU"/>
        </w:rPr>
        <w:t>г. Новоалександровска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t>Настоящая должностная инструкция определяет должностные права и обяза</w:t>
      </w:r>
      <w:r>
        <w:t xml:space="preserve">нности педагога - организатора </w:t>
      </w:r>
      <w:r w:rsidRPr="0094374F">
        <w:t>Центра образования естественно - научной и технологической направленностей «Точка</w:t>
      </w:r>
      <w:r>
        <w:t xml:space="preserve"> роста» на базе МОУ </w:t>
      </w:r>
      <w:r>
        <w:rPr>
          <w:bCs/>
          <w:color w:val="000000"/>
          <w:lang w:bidi="ru-RU"/>
        </w:rPr>
        <w:t>г</w:t>
      </w:r>
      <w:r w:rsidRPr="0031468E">
        <w:rPr>
          <w:bCs/>
          <w:color w:val="000000"/>
          <w:lang w:bidi="ru-RU"/>
        </w:rPr>
        <w:t>имназия № 1</w:t>
      </w:r>
      <w:r w:rsidRPr="0094374F">
        <w:t xml:space="preserve">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A63C9D" w:rsidRPr="0094374F" w:rsidRDefault="00A63C9D" w:rsidP="00A63C9D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1. Общие положения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1.1. Педагог-организатор относится к категории специалистов.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/>
          <w:iCs/>
        </w:rPr>
      </w:pPr>
      <w:r w:rsidRPr="0094374F">
        <w:rPr>
          <w:iCs/>
        </w:rPr>
        <w:t>1.2. На должность педагога-организатора принимается лицо</w:t>
      </w:r>
      <w:r w:rsidRPr="0094374F">
        <w:rPr>
          <w:i/>
          <w:iCs/>
        </w:rPr>
        <w:t>: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1.2.1. отвечающее одному из указанных требований: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имеющее высшее образование (</w:t>
      </w:r>
      <w:proofErr w:type="spellStart"/>
      <w:r w:rsidRPr="0094374F">
        <w:rPr>
          <w:iCs/>
        </w:rPr>
        <w:t>бакалавриат</w:t>
      </w:r>
      <w:proofErr w:type="spellEnd"/>
      <w:r w:rsidRPr="0094374F">
        <w:rPr>
          <w:iCs/>
        </w:rPr>
        <w:t>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имеющее высшее образование (</w:t>
      </w:r>
      <w:proofErr w:type="spellStart"/>
      <w:r w:rsidRPr="0094374F">
        <w:rPr>
          <w:iCs/>
        </w:rPr>
        <w:t>специалитет</w:t>
      </w:r>
      <w:proofErr w:type="spellEnd"/>
      <w:r w:rsidRPr="0094374F">
        <w:rPr>
          <w:iCs/>
        </w:rP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1.2.2. не имеющее ограничений на занятие педагогической деятельностью, установленных законодательством Российской Федерации;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1.2.4. прошедшее аттестацию на соответствие занимаемой должности в</w:t>
      </w:r>
      <w:r w:rsidRPr="0094374F">
        <w:rPr>
          <w:i/>
          <w:iCs/>
          <w:color w:val="333333"/>
        </w:rPr>
        <w:t xml:space="preserve"> </w:t>
      </w:r>
      <w:r w:rsidRPr="0094374F">
        <w:rPr>
          <w:iCs/>
        </w:rPr>
        <w:t>установленном законодательством Российской Федерации порядке.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1.3. Педагог-организатор в своей деятельности руководствуется: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уставом МОУ </w:t>
      </w:r>
      <w:r w:rsidRPr="00DB4E20">
        <w:rPr>
          <w:bCs/>
          <w:color w:val="000000"/>
          <w:lang w:bidi="ru-RU"/>
        </w:rPr>
        <w:t>гимназия № 1</w:t>
      </w:r>
      <w:r w:rsidRPr="0094374F">
        <w:rPr>
          <w:iCs/>
        </w:rPr>
        <w:t>;</w:t>
      </w:r>
    </w:p>
    <w:p w:rsidR="00A63C9D" w:rsidRPr="0094374F" w:rsidRDefault="00A63C9D" w:rsidP="00A63C9D">
      <w:pPr>
        <w:jc w:val="both"/>
      </w:pPr>
      <w:r w:rsidRPr="0094374F">
        <w:rPr>
          <w:iCs/>
        </w:rPr>
        <w:t xml:space="preserve">- положением </w:t>
      </w:r>
      <w:r w:rsidRPr="0094374F">
        <w:rPr>
          <w:bCs/>
        </w:rPr>
        <w:t xml:space="preserve">о деятельности </w:t>
      </w:r>
      <w:r w:rsidRPr="0094374F">
        <w:t>Центра;</w:t>
      </w:r>
    </w:p>
    <w:p w:rsidR="00A63C9D" w:rsidRPr="0094374F" w:rsidRDefault="00A63C9D" w:rsidP="00A63C9D">
      <w:pPr>
        <w:widowControl w:val="0"/>
        <w:autoSpaceDE w:val="0"/>
        <w:autoSpaceDN w:val="0"/>
        <w:adjustRightInd w:val="0"/>
        <w:contextualSpacing/>
        <w:jc w:val="both"/>
        <w:rPr>
          <w:iCs/>
        </w:rPr>
      </w:pPr>
      <w:r w:rsidRPr="0094374F">
        <w:rPr>
          <w:iCs/>
        </w:rPr>
        <w:t>- настоящей должностной инструкцией;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трудовым договором и др. нормативными документами школы.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1.4</w:t>
      </w:r>
      <w:r w:rsidRPr="0094374F">
        <w:rPr>
          <w:b/>
          <w:snapToGrid w:val="0"/>
          <w:color w:val="000000"/>
        </w:rPr>
        <w:t xml:space="preserve">. </w:t>
      </w:r>
      <w:r w:rsidRPr="0094374F">
        <w:rPr>
          <w:snapToGrid w:val="0"/>
          <w:color w:val="000000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1.5. Педагог-организатор должен знать: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нормативно-правовые акты в области защиты прав ребенка, включая международные;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направления досуговой деятельности, особенности организации и проведения массовых досуговых мероприятий;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</w:t>
      </w:r>
      <w:r w:rsidRPr="0094374F">
        <w:rPr>
          <w:iCs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техники и приемы общения (слушания, убеждения) с учетом возрастных и индивидуальных особенностей собеседников;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перечень и характеристики предлагаемых к освоению дополнительных общеобразовательных программ;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виды внебюджетных средств, источники их поступления и направления использования;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методологические основы современного дополнительного образования детей и взрослых;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современные концепции и модели, образовательные технологии дополнительного образования детей и взрослых;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источники, причины, виды и способы разрешения конфликтов;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особенности построения </w:t>
      </w:r>
      <w:proofErr w:type="spellStart"/>
      <w:r w:rsidRPr="0094374F">
        <w:rPr>
          <w:iCs/>
        </w:rPr>
        <w:t>компетентностно</w:t>
      </w:r>
      <w:proofErr w:type="spellEnd"/>
      <w:r w:rsidRPr="0094374F">
        <w:rPr>
          <w:iCs/>
        </w:rPr>
        <w:t>-ориентированного образовательного процесса;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стадии профессионального развития педагогов;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>-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меры ответственности за жизнь и здоровье учащихся, находящихся под руководством педагогического работника;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основы трудового законодательства Российской Федерации;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правила внутреннего трудового распорядка;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требования охраны труда и правила пожарной безопасности;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(другие документы, материалы и т.д.).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 Педагог-организатор должен уметь: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1.6.1.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поддерживать социально значимые инициативы учащихся;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организовывать репетиции;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выполнять роль ведущего досуговых мероприятий;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использовать </w:t>
      </w:r>
      <w:proofErr w:type="spellStart"/>
      <w:r w:rsidRPr="0094374F">
        <w:rPr>
          <w:iCs/>
        </w:rPr>
        <w:t>профориентационные</w:t>
      </w:r>
      <w:proofErr w:type="spellEnd"/>
      <w:r w:rsidRPr="0094374F">
        <w:rPr>
          <w:iCs/>
        </w:rPr>
        <w:t xml:space="preserve"> возможности досуговой деятельности;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1.6.2. 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1.6.3. 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1.6.4. 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1.6.5.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1.6.6.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1.6.7.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1.6.8.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1.6.9. организовывать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1.6.10.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1.6.11.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1.6.12.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1.6.13.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1.6.14. производить изучение потребностей дополнительных образовательных услуг на базе Центра;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1.6.15.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1.6.16.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1.6.17. создавать условия для реализации детьми творческого и исследовательского потенциала;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1.6.18. 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1.6.19.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1.6.20.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A63C9D" w:rsidRPr="0094374F" w:rsidRDefault="00A63C9D" w:rsidP="00A63C9D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1.6.21. выполнять требования охраны труда;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 xml:space="preserve">1.7. Педагог-организатор подчиняется непосредственно руководителю </w:t>
      </w:r>
      <w:r w:rsidRPr="0094374F">
        <w:t xml:space="preserve">Центра </w:t>
      </w:r>
      <w:r w:rsidRPr="0094374F">
        <w:rPr>
          <w:snapToGrid w:val="0"/>
          <w:color w:val="000000"/>
        </w:rPr>
        <w:t>и директору учреждения.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t>1.8</w:t>
      </w:r>
      <w:r w:rsidRPr="0094374F">
        <w:rPr>
          <w:snapToGrid w:val="0"/>
          <w:color w:val="000000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Pr="0094374F">
        <w:t>Центра</w:t>
      </w:r>
      <w:r w:rsidRPr="0094374F">
        <w:rPr>
          <w:snapToGrid w:val="0"/>
          <w:color w:val="000000"/>
        </w:rPr>
        <w:t>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</w:p>
    <w:p w:rsidR="00A63C9D" w:rsidRPr="0094374F" w:rsidRDefault="00A63C9D" w:rsidP="00A63C9D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2. Должностные обязанности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Педагог-организатор: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 xml:space="preserve">2.1.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94374F">
        <w:rPr>
          <w:snapToGrid w:val="0"/>
          <w:color w:val="000000"/>
        </w:rPr>
        <w:t>педагогизации</w:t>
      </w:r>
      <w:proofErr w:type="spellEnd"/>
      <w:r w:rsidRPr="0094374F">
        <w:rPr>
          <w:snapToGrid w:val="0"/>
          <w:color w:val="000000"/>
        </w:rPr>
        <w:t xml:space="preserve"> социальной сферы.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2.3. 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2.4.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2.5. 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2.6. Способствует реализации прав ребенка на развитие творческих способностей.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2.7.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A63C9D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2.8.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2.9. Оказывает поддержку детским кооперативам, иным формам организации труда обучающихся (воспитанников, детей).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2.10.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A63C9D" w:rsidRPr="0094374F" w:rsidRDefault="00A63C9D" w:rsidP="00A63C9D">
      <w:pPr>
        <w:pStyle w:val="a3"/>
        <w:spacing w:line="276" w:lineRule="auto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94374F">
        <w:rPr>
          <w:rFonts w:ascii="Times New Roman" w:hAnsi="Times New Roman"/>
          <w:i w:val="0"/>
          <w:snapToGrid w:val="0"/>
          <w:sz w:val="24"/>
          <w:szCs w:val="24"/>
        </w:rPr>
        <w:t>3. Права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 вправе: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3.1. знакомиться с проектами решений руководства Центра и учреждения, касающихся его деятельности;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 xml:space="preserve">3.2. по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</w:t>
      </w:r>
      <w:r w:rsidRPr="0094374F">
        <w:rPr>
          <w:snapToGrid w:val="0"/>
          <w:color w:val="000000"/>
        </w:rPr>
        <w:lastRenderedPageBreak/>
        <w:t>замечания по деятельности работников; варианты устранения, имеющихся в деятельности Центра недостатков;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3.3. запрашивать лично или по поручению руководства от специалистов информацию и документы, необходимые для выполнения его должностных обязанностей;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3.4. привлекать специалистов Центра и сотрудников школы к решению задач, возложенных на него;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3.5. требовать от руководства учреждения оказания содействия в исполнении им его должностных обязанностей и прав.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</w:p>
    <w:p w:rsidR="00A63C9D" w:rsidRPr="0094374F" w:rsidRDefault="00A63C9D" w:rsidP="00A63C9D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4. Ответственность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 несет ответственность: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A63C9D" w:rsidRPr="0094374F" w:rsidRDefault="00A63C9D" w:rsidP="00A63C9D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A63C9D" w:rsidRPr="0094374F" w:rsidRDefault="00A63C9D" w:rsidP="00A63C9D">
      <w:pPr>
        <w:jc w:val="both"/>
        <w:rPr>
          <w:b/>
        </w:rPr>
      </w:pPr>
      <w:r w:rsidRPr="0094374F">
        <w:rPr>
          <w:b/>
        </w:rPr>
        <w:t xml:space="preserve">5. Заключительные положения   </w:t>
      </w:r>
    </w:p>
    <w:p w:rsidR="00A63C9D" w:rsidRDefault="00A63C9D" w:rsidP="00A63C9D">
      <w:pPr>
        <w:jc w:val="both"/>
      </w:pPr>
      <w:r w:rsidRPr="0094374F"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A63C9D" w:rsidRPr="0094374F" w:rsidRDefault="00A63C9D" w:rsidP="00A63C9D">
      <w:pPr>
        <w:jc w:val="both"/>
      </w:pPr>
      <w:r>
        <w:t>5.2</w:t>
      </w:r>
      <w:r w:rsidRPr="0094374F"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A63C9D" w:rsidRPr="0094374F" w:rsidRDefault="00A63C9D" w:rsidP="00A63C9D">
      <w:pPr>
        <w:jc w:val="both"/>
      </w:pPr>
      <w:r>
        <w:t>5.3</w:t>
      </w:r>
      <w:r w:rsidRPr="0094374F"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A63C9D" w:rsidRPr="0094374F" w:rsidRDefault="00A63C9D" w:rsidP="00A63C9D">
      <w:pPr>
        <w:jc w:val="both"/>
      </w:pPr>
      <w:r>
        <w:t>5.4</w:t>
      </w:r>
      <w:r w:rsidRPr="0094374F"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A63C9D" w:rsidRPr="0094374F" w:rsidRDefault="00A63C9D" w:rsidP="00A63C9D">
      <w:pPr>
        <w:jc w:val="both"/>
      </w:pPr>
      <w:r>
        <w:t>5.5</w:t>
      </w:r>
      <w:r w:rsidRPr="0094374F"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A63C9D" w:rsidRPr="0094374F" w:rsidRDefault="00A63C9D" w:rsidP="00A63C9D">
      <w:pPr>
        <w:jc w:val="both"/>
      </w:pPr>
      <w:r>
        <w:t>5.6</w:t>
      </w:r>
      <w:r w:rsidRPr="0094374F"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A63C9D" w:rsidRDefault="00A63C9D" w:rsidP="00A63C9D">
      <w:pPr>
        <w:jc w:val="both"/>
      </w:pPr>
      <w:r>
        <w:t>5.7</w:t>
      </w:r>
      <w:r w:rsidRPr="0094374F"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A63C9D" w:rsidRPr="0094374F" w:rsidRDefault="00A63C9D" w:rsidP="00A63C9D">
      <w:pPr>
        <w:jc w:val="both"/>
      </w:pPr>
      <w:r>
        <w:t>5.8</w:t>
      </w:r>
      <w:r w:rsidRPr="0094374F"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A63C9D" w:rsidRPr="0094374F" w:rsidRDefault="00A63C9D" w:rsidP="00A63C9D">
      <w:pPr>
        <w:jc w:val="both"/>
      </w:pPr>
      <w:r w:rsidRPr="0094374F">
        <w:t xml:space="preserve"> </w:t>
      </w:r>
    </w:p>
    <w:p w:rsidR="00A63C9D" w:rsidRDefault="00A63C9D" w:rsidP="00A63C9D">
      <w:pPr>
        <w:jc w:val="both"/>
      </w:pPr>
    </w:p>
    <w:p w:rsidR="00A63C9D" w:rsidRDefault="00A63C9D" w:rsidP="00A63C9D">
      <w:pPr>
        <w:jc w:val="both"/>
      </w:pPr>
    </w:p>
    <w:p w:rsidR="00A63C9D" w:rsidRPr="00026CB2" w:rsidRDefault="00A63C9D" w:rsidP="00A63C9D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A63C9D" w:rsidRPr="00026CB2" w:rsidRDefault="00A63C9D" w:rsidP="00A63C9D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A63C9D" w:rsidRPr="00026CB2" w:rsidRDefault="00A63C9D" w:rsidP="00A63C9D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A63C9D" w:rsidRPr="00026CB2" w:rsidRDefault="00A63C9D" w:rsidP="00A63C9D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A63C9D" w:rsidRPr="00026CB2" w:rsidRDefault="00A63C9D" w:rsidP="00A63C9D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A63C9D" w:rsidRPr="00026CB2" w:rsidRDefault="00A63C9D" w:rsidP="00A63C9D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 wp14:anchorId="0DC3D8B0" wp14:editId="2D5C9AB3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C9D" w:rsidRPr="00BC34F1" w:rsidRDefault="00A63C9D" w:rsidP="00A63C9D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3D8B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.05pt;margin-top:6.55pt;width:64.65pt;height:38.9pt;z-index:-251657216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1rRyVM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A63C9D" w:rsidRPr="00BC34F1" w:rsidRDefault="00A63C9D" w:rsidP="00A63C9D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A63C9D" w:rsidRPr="00026CB2" w:rsidRDefault="00A63C9D" w:rsidP="00A63C9D">
      <w:pPr>
        <w:jc w:val="both"/>
      </w:pPr>
      <w:r w:rsidRPr="00026CB2">
        <w:t xml:space="preserve"> </w:t>
      </w:r>
    </w:p>
    <w:p w:rsidR="00A63C9D" w:rsidRPr="0094374F" w:rsidRDefault="00A63C9D" w:rsidP="00A63C9D">
      <w:pPr>
        <w:jc w:val="both"/>
      </w:pPr>
    </w:p>
    <w:p w:rsidR="00A63C9D" w:rsidRDefault="00A63C9D" w:rsidP="00A63C9D">
      <w:pPr>
        <w:ind w:right="-35" w:firstLine="851"/>
        <w:rPr>
          <w:sz w:val="28"/>
        </w:rPr>
      </w:pPr>
    </w:p>
    <w:p w:rsidR="00A63C9D" w:rsidRPr="008F2B9A" w:rsidRDefault="00A63C9D" w:rsidP="00A63C9D">
      <w:pPr>
        <w:ind w:right="-35" w:firstLine="851"/>
        <w:rPr>
          <w:sz w:val="28"/>
        </w:rPr>
      </w:pPr>
    </w:p>
    <w:p w:rsidR="00A63C9D" w:rsidRDefault="00A63C9D" w:rsidP="00A63C9D"/>
    <w:p w:rsidR="004F2211" w:rsidRDefault="004F2211">
      <w:bookmarkStart w:id="0" w:name="_GoBack"/>
      <w:bookmarkEnd w:id="0"/>
    </w:p>
    <w:sectPr w:rsidR="004F2211" w:rsidSect="0031468E">
      <w:pgSz w:w="11906" w:h="16838"/>
      <w:pgMar w:top="709" w:right="1133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9D"/>
    <w:rsid w:val="004F2211"/>
    <w:rsid w:val="00A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3F4E6-7A91-424B-AC42-5D8D7083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Заг"/>
    <w:basedOn w:val="a4"/>
    <w:rsid w:val="00A63C9D"/>
    <w:pPr>
      <w:spacing w:after="0"/>
    </w:pPr>
    <w:rPr>
      <w:rFonts w:ascii="Arial" w:hAnsi="Arial"/>
      <w:b/>
      <w:i/>
      <w:sz w:val="20"/>
      <w:szCs w:val="20"/>
    </w:rPr>
  </w:style>
  <w:style w:type="paragraph" w:styleId="a5">
    <w:name w:val="Normal (Web)"/>
    <w:basedOn w:val="a"/>
    <w:uiPriority w:val="99"/>
    <w:rsid w:val="00A63C9D"/>
    <w:pPr>
      <w:spacing w:before="100" w:beforeAutospacing="1" w:after="100" w:afterAutospacing="1"/>
    </w:pPr>
  </w:style>
  <w:style w:type="character" w:customStyle="1" w:styleId="4Exact">
    <w:name w:val="Основной текст (4) Exact"/>
    <w:basedOn w:val="a0"/>
    <w:rsid w:val="00A63C9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A63C9D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3C9D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styleId="a4">
    <w:name w:val="Body Text"/>
    <w:basedOn w:val="a"/>
    <w:link w:val="a6"/>
    <w:uiPriority w:val="99"/>
    <w:semiHidden/>
    <w:unhideWhenUsed/>
    <w:rsid w:val="00A63C9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A63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2023-04-24T06:37:00Z</dcterms:created>
  <dcterms:modified xsi:type="dcterms:W3CDTF">2023-04-24T06:38:00Z</dcterms:modified>
</cp:coreProperties>
</file>